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15" w:rsidRPr="00BF6E15" w:rsidRDefault="00BF6E15" w:rsidP="00BF6E15">
      <w:pPr>
        <w:pStyle w:val="ConsPlusNormal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F6E15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BF6E15" w:rsidRDefault="00BF6E15" w:rsidP="00BF6E1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4</w:t>
      </w:r>
      <w:r w:rsidR="00C92F3C" w:rsidRPr="00C30508">
        <w:rPr>
          <w:rFonts w:ascii="Times New Roman" w:hAnsi="Times New Roman" w:cs="Times New Roman"/>
          <w:sz w:val="24"/>
          <w:szCs w:val="24"/>
        </w:rPr>
        <w:t>5</w:t>
      </w:r>
      <w:r w:rsidRPr="00C30508">
        <w:rPr>
          <w:rFonts w:ascii="Times New Roman" w:hAnsi="Times New Roman" w:cs="Times New Roman"/>
          <w:sz w:val="24"/>
          <w:szCs w:val="24"/>
        </w:rPr>
        <w:t>.1.2. М</w:t>
      </w:r>
      <w:r w:rsidR="00571B67" w:rsidRPr="00C30508">
        <w:rPr>
          <w:rFonts w:ascii="Times New Roman" w:hAnsi="Times New Roman" w:cs="Times New Roman"/>
          <w:sz w:val="24"/>
          <w:szCs w:val="24"/>
        </w:rPr>
        <w:t>ЕТОДИКА РАСПРЕДЕЛЕНИЯ ДОТАЦИЙ</w:t>
      </w:r>
    </w:p>
    <w:p w:rsidR="00C93F36" w:rsidRPr="00C30508" w:rsidRDefault="00571B67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НА</w:t>
      </w:r>
      <w:r w:rsidR="00C93F36" w:rsidRPr="00C30508">
        <w:rPr>
          <w:rFonts w:ascii="Times New Roman" w:hAnsi="Times New Roman" w:cs="Times New Roman"/>
          <w:sz w:val="24"/>
          <w:szCs w:val="24"/>
        </w:rPr>
        <w:t xml:space="preserve"> </w:t>
      </w:r>
      <w:r w:rsidRPr="00C30508">
        <w:rPr>
          <w:rFonts w:ascii="Times New Roman" w:hAnsi="Times New Roman" w:cs="Times New Roman"/>
          <w:sz w:val="24"/>
          <w:szCs w:val="24"/>
        </w:rPr>
        <w:t>ВЫРАВНИВАНИЕ БЮДЖЕТНОЙ ОБЕСПЕЧЕННОСТИ</w:t>
      </w:r>
    </w:p>
    <w:p w:rsidR="00C93F36" w:rsidRPr="00C30508" w:rsidRDefault="006B079A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МУНИЦИПАЛЬНЫХ РАЙОНОВ (ГОРОДСКИХ ОКРУГОВ)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Методика распределения дотаций на выравнивание бюджетной обеспеченности муниципальных районов (городских округов) (далее - Методика) включает следующие этапы: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1) расчет уровня бюджетной обеспеченности муниципальных районов (городских округов);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2) распределение дотаций на выравнивание уровня бюджетной обеспеченности муниципальных районов (городских округов).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I. Основные понятия и определения, используемые в Методике: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а) уровень бюджетной обеспеченности муниципального района (городского округа) - отношение индекса налогового потенциала к индексу бюджетных расходов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б) индекс налогового потенциала муниципального района (городского округа) - отношение налогового потенциала муниципального района (городского округа) в расчете на одного жителя к аналогичному показателю в среднем по всем муниципальным районам (городским округам);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в) налоговый потенциал муниципального района (городского округа) - оценка доходов, которые могут быть получены бюджетом муниципального района (городского округа) исходя из уровня развития и структуры экономики и (или) налоговой базы из налоговых источников, закрепленных в репрезентативной системе налогов;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г) индекс бюджетных расходов муниципального района (городского округа) показывает насколько больше (меньше) средств бюджета муниципального района (городского округа) в расчете на одного жителя по сравнению со средним по всем муниципальным районам (городским округам) уровнем необходимо затратить для решения вопросов местного значения муниципального района (городского округа), с учетом специфики социально-демографического состава обслуживаемого населения и иных объективных факторов, влияющих на стоимость предоставляемых бюджетных услуг.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II. Расчет уровня бюджетной обеспеченности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муниципального района (городского округа)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Уровень бюджетной обеспеченности муниципального района (городского округа) на очередной финансовый год рассчитывается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104900" cy="419100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76225" cy="200025"/>
            <wp:effectExtent l="0" t="0" r="9525" b="9525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уровень бюджетной обеспеченности j-того муниципального района (городского округа)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09575" cy="200025"/>
            <wp:effectExtent l="0" t="0" r="9525" b="9525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индекс налогового потенциала j-того муниципального района (городского округа) в очередном финансовом году;</w:t>
      </w:r>
    </w:p>
    <w:p w:rsidR="00C93F36" w:rsidRDefault="004057F0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pict>
          <v:shape id="_x0000_i1027" type="#_x0000_t75" style="width:28.5pt;height:14.25pt;visibility:visible;mso-wrap-style:square">
            <v:imagedata r:id="rId10" o:title=""/>
          </v:shape>
        </w:pict>
      </w:r>
      <w:r w:rsidR="00C93F36" w:rsidRPr="00C30508">
        <w:rPr>
          <w:rFonts w:ascii="Times New Roman" w:hAnsi="Times New Roman" w:cs="Times New Roman"/>
          <w:b w:val="0"/>
          <w:sz w:val="24"/>
          <w:szCs w:val="24"/>
        </w:rPr>
        <w:t xml:space="preserve"> - индекс бюджетных расходов j-того муниципального района (городского округа) в очередном финансовом году.</w:t>
      </w:r>
    </w:p>
    <w:p w:rsid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lastRenderedPageBreak/>
        <w:t>1. Расчет индекса налогового потенциала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муниципального района (городского округа)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Индекс налогового потенциала муниципального района (городского округа) в очередном финансовом году рассчитывается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54"/>
          <w:sz w:val="24"/>
          <w:szCs w:val="24"/>
          <w:lang w:eastAsia="ru-RU"/>
        </w:rPr>
        <w:drawing>
          <wp:inline distT="0" distB="0" distL="0" distR="0">
            <wp:extent cx="1143000" cy="790575"/>
            <wp:effectExtent l="0" t="0" r="0" b="9525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09575" cy="200025"/>
            <wp:effectExtent l="0" t="0" r="9525" b="9525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индекс налогового потенциала j-того муниципального района (городского округа)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00025"/>
            <wp:effectExtent l="0" t="0" r="0" b="9525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налоговый потенциал j-того муниципального района (городского округа) в очередном финансовом году.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80975" cy="200025"/>
            <wp:effectExtent l="0" t="0" r="9525" b="9525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постоянного населения j-того муниципального района (городского округа) по данным статистической отчетности по состоянию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266700" cy="161925"/>
            <wp:effectExtent l="0" t="0" r="0" b="9525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налоговый потенциал всех муниципальных районов (городских округов)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52400" cy="161925"/>
            <wp:effectExtent l="0" t="0" r="0" b="9525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постоянного населения Камчатского края по данным статистической отчетности по состоянию на начало текущего финансового года.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Расчет налогового потенциала муниципального района (городского округа) производится по репрезентативной системе налогов в разрезе отдельных видов налогов исходя из показателей уровня экономического развития муниципального района (городского округа), прогноза поступлений данного налога с территории всех муниципальных районов (городских округов) в консолидированный бюджет Камчатского края (по данным Министерства экономического развития, предпринимательства и торговли Камчатского края), а также норматива отчислений от данного налога в бюджеты муниципальных районов (городских округов).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Репрезентативная система налогов включает основные налоги, зачисляемые в бюджеты муниципальных районов (городских округов) и отражает доходные возможности, которые учитываются при распределении финансовых средств в рамках межбюджетного регулирования.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В состав репрезентативной системы налогов включены следующие виды налогов: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- налог на доходы физических лиц;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- единый налог на вмененный доход для отдельных видов деятельности;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- налог на прибыль.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Налоговый потенциал муниципального района (городского округа) по отдельному налогу рассчитывается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905000" cy="428625"/>
            <wp:effectExtent l="0" t="0" r="0" b="9525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42900" cy="200025"/>
            <wp:effectExtent l="0" t="0" r="0" b="9525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налоговый потенциал j-того муниципального района (городского округа) по i-тому налогу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00025"/>
            <wp:effectExtent l="0" t="0" r="0" b="9525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прогноз поступлений i-того налога в консолидированный бюджет Камчатского края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38125" cy="180975"/>
            <wp:effectExtent l="0" t="0" r="9525" b="9525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единый норматив отчислений в бюджеты муниципальных районов (городских округов) от i-того налога в соответствии с бюджетным законодательством;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lastRenderedPageBreak/>
        <w:drawing>
          <wp:inline distT="0" distB="0" distL="0" distR="0">
            <wp:extent cx="333375" cy="200025"/>
            <wp:effectExtent l="0" t="0" r="9525" b="9525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экономический показатель, отражающий базу налогообложения j-того муниципального района (городского округа) по i-тому налогу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04800" cy="180975"/>
            <wp:effectExtent l="0" t="0" r="0" b="9525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экономический показатель, отражающий базу налогообложения муниципальных районов (городских округов) по i-тому налогу в очередном финансовом году.</w:t>
      </w: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2. Расчет частных экономических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показателей, отражающих базу налогообложения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по налогам, включенным в репрезентативную систему</w:t>
      </w: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1. Экономический показатель, отражающий базу налогообложения муниципального района (городского округа) по налогу на доходы физических лиц на очередной финансовый год (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733425" cy="219075"/>
            <wp:effectExtent l="0" t="0" r="9525" b="9525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2E6C" w:rsidRPr="00C30508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определяется по следующей формуле:</w:t>
      </w: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647825" cy="390525"/>
            <wp:effectExtent l="0" t="0" r="9525" b="9525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23875" cy="219075"/>
            <wp:effectExtent l="0" t="0" r="9525" b="9525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объем рассчитанного фонда оплаты труда в j-том муниципальном районе (городском округе) на очередной финансовый год с учетом предполагаемого повышения оплаты труда (по оценке Министерства экономического развития, предпринимательства и торговли Камчатского края);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71475" cy="180975"/>
            <wp:effectExtent l="0" t="0" r="9525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объем рассчитанного фонда оплаты труда во всех муниципальных районах (городских округах) на очередной финансовый год с учетом предполагаемого повышения оплаты труда (по оценке Министерства экономического развития и торговли Камчатского края).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2. Экономический показатель, отражающий базу налогообложения муниципального района (городского округа) по единому налогу на вмененный доход для отдельных видов деятельности на очередной финансовый год, определяется по следующей формуле:</w:t>
      </w: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590800" cy="41910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Default="00C93F36" w:rsidP="00C93F36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ожидаемые поступления в текущем финансовом году единого налога на вмененный доход для отдельных видов деятельности по j-тому муниципальному району (городскому округу) (по оценке Министерства экономического развития, предпринимательства и торговли Камчатского края);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057275" cy="200025"/>
            <wp:effectExtent l="0" t="0" r="9525" b="9525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индекс изменения базовой доходности согласно федеральному законодательству (при отсутствии данных на очередной финансовый год применяются данные текущего финансового года);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38125" cy="180975"/>
            <wp:effectExtent l="0" t="0" r="9525" b="9525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ожидаемые поступления в текущем финансовом году единого налога на вмененный доход для отдельных видов деятельности по всем муниципальным районам (городским округам) (по оценке Министерства экономического развития и торговли Камчатского края).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3. Для расчета экономического показателя, отражающего базу налогообложения муниципального района (городского округа) по налогу на прибыль организаций на очередной финансовый год, применяется экспоненциальное усреднение экономических показателей, </w:t>
      </w:r>
      <w:r w:rsidRPr="00C30508">
        <w:rPr>
          <w:rFonts w:ascii="Times New Roman" w:hAnsi="Times New Roman" w:cs="Times New Roman"/>
          <w:b w:val="0"/>
          <w:sz w:val="24"/>
          <w:szCs w:val="24"/>
        </w:rPr>
        <w:lastRenderedPageBreak/>
        <w:t>отражающих базу налогообложения по налогу на прибыль организаций за отчетные периоды (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71500" cy="200025"/>
            <wp:effectExtent l="0" t="0" r="0" b="9525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Экономический показатель, отражающий базу налогообложения муниципального района (городского округа) по налогу на прибыль организаций на очередной финансовый год, определяется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057775" cy="17145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923925" cy="219075"/>
            <wp:effectExtent l="0" t="0" r="9525" b="9525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экономический показатель, отражающий динамику налогообложения j-того муниципального района (городского округа) по налогу на прибыль организаций на очередной финансовый год;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800100" cy="219075"/>
            <wp:effectExtent l="0" t="0" r="0" b="9525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экономический показатель, отражающий динамику налогообложения j-того муниципального района (городского округа) по налогу на прибыль организаций за период текущего финансового года, приведенный к годовым показателям;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923925" cy="219075"/>
            <wp:effectExtent l="0" t="0" r="9525" b="9525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экономический показатель, отражающий динамику налогообложения j-того муниципального района (городского округа) по налогу на прибыль организаций за отчетный финансовый год;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962025" cy="219075"/>
            <wp:effectExtent l="0" t="0" r="9525" b="9525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экономический показатель, отражающий динамику налогообложения j-того муниципального района (городского округа) по налогу на прибыль организаций за год, предшествующий отчетному финансовому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952500" cy="219075"/>
            <wp:effectExtent l="0" t="0" r="0" b="9525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экономический показатель, отражающий динамику налогообложения j-того муниципального района (городского округа) по налогу на прибыль организаций за год, предыдущий году, предшествующему отчетному финансовому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0,4; 0,3; 0,2; 0,1 - условная доля налога на прибыль в соответствующем году.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Экономические показатели, отражающие динамику налогообложения муниципального района (городского округа) по налогу на прибыль организаций за отчетные периоды (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762000" cy="219075"/>
            <wp:effectExtent l="0" t="0" r="0" b="9525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>) определяются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838325" cy="419100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676275" cy="219075"/>
            <wp:effectExtent l="0" t="0" r="9525" b="9525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фактические поступления налога на прибыль организаций в местный бюджет с территории j-того муниципального района (городского округа) за соответствующий i-тый период, приведенные в условия очередного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619125" cy="219075"/>
            <wp:effectExtent l="0" t="0" r="9525" b="9525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 фактических поступлений налога на прибыль организаций в местный бюджет с территории всех муниципальных районов (городских округов) за соответствующий i-тый период, приведенных в условия очередного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314325" cy="161925"/>
            <wp:effectExtent l="0" t="0" r="9525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период текущего финансового года,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61975" cy="219075"/>
            <wp:effectExtent l="0" t="0" r="9525" b="9525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отчетный финансовый год,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81025" cy="219075"/>
            <wp:effectExtent l="0" t="0" r="9525" b="9525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год, предшествующий отчетному финансовому году,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571500" cy="219075"/>
            <wp:effectExtent l="0" t="0" r="0" b="9525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год, предыдущий году, предшествующему отчетному финансовому году.</w:t>
      </w: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4. Расчет на плановый период экономических показателей, отражающих базу налогообложения по налогам, включенным в репрезентативную систему, осуществляется на основе показателей, применяемых для расчета указанных экономических показателей на очередной финансовый год.</w:t>
      </w:r>
    </w:p>
    <w:p w:rsid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3. Расчет налогового потенциала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муниципального района (городского округа)</w:t>
      </w: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Налоговый потенциал муниципального района (городского округа) на очередной финансовый год рассчитывается по следующей формуле:</w:t>
      </w:r>
    </w:p>
    <w:p w:rsidR="00C93F36" w:rsidRPr="00C30508" w:rsidRDefault="00C93F36" w:rsidP="00C93F36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Default="00C93F36" w:rsidP="00C30508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247775" cy="257175"/>
            <wp:effectExtent l="0" t="0" r="0" b="952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508" w:rsidRPr="00C30508" w:rsidRDefault="00C30508" w:rsidP="00C30508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00025"/>
            <wp:effectExtent l="0" t="0" r="0" b="9525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налоговый потенциал j-того муниципального района (городского округа) на очередной финансовый год;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52425" cy="200025"/>
            <wp:effectExtent l="0" t="0" r="9525" b="952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налоговый потенциал j-того муниципального района (городского округа) по i-тому налогу на очередной финансовый год.</w:t>
      </w:r>
    </w:p>
    <w:p w:rsidR="00C93F36" w:rsidRDefault="00C93F36" w:rsidP="00C30508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Суммирование производится по всем налогам, входящим в репрезентативную систему налогов. Рассчитанные оценки налогового потенциала не являются планируемыми или рекомендуемыми показателями доходов бюджетов муниципальных районов (городских округов) и используются только для расчета индекса налогового потенциала и сопоставления уровня бюджетной обеспеченности в целях межбюджетного регулирования.</w:t>
      </w:r>
    </w:p>
    <w:p w:rsidR="00C30508" w:rsidRPr="00C30508" w:rsidRDefault="00C30508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4. Расчет индекса бюджетных расходов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муниципальных районов (городских округов)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Для расчета нормативов расходных обязательств в целях определения поправочных коэффициентов расходных потребностей бюджетов муниципальных районов (городских округов) с учетом расходных потребностей поселений, отражающих относительные различия в указанных расходных потребностях, используется репрезентативная система расходов, которая включает перечень основных видов расходов муниципальных районов (городских округов), связанных с решением вопросов местного значения. В состав репрезентативного перечня расходов входят расходы, связанные с решением следующих вопросов местного значения муниципальных районов (городских округов):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1) расходы на функционирование органов местного самоуправления;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2) дорожная деятельность в отношении автомобильных дорог местного значения в границах населенных пунктов поселения (городского округа)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(городского округа),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участие в организации деятельности по сбору (в том числе раздельному сбору) и транспортированию твердых коммунальных отходов на территории поселения,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организация благоустройства территории поселения (городского округа)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городского округа, межселенной территории муниципального района, а также изменение, аннулирование таких наименований, размещение информации в государственном адресном реестре;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организация ритуальных услуг и содержание мест захоронения, содержание на территории муниципального района межпоселенческих мест захоронения;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3) создание условий для предоставления транспортных услуг населению и организация транспортного обслуживания населения в границах поселения (городского округа), между поселениями в границах муниципального района;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4)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Камчатского края), создание условий для осуществления присмотра и ухода за детьми, содержания детей в муниципальных образовательных организациях, а также организация отдыха детей в каникулярное время;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5) организация библиотечного обслуживания населения, комплектование и обеспечение сохранности библиотечных фондов библиотек поселения (городского округа), организация библиотечного обслуживания населения межпоселенческими библиотеками, комплектование и обеспечение сохранности их библиотечных фондов;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6) обеспечение условий для развития на территории поселения (городского округа)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(городского округа); 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7) организация и осуществление мероприятий по работе с детьми и молодежью в поселении (городском округе), организация и осуществление мероприятий межпоселенческого характера по работе с детьми и молодежью.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В целях обеспечения расчетов для муниципальных районов в состав репрезентативной системы расходов включаются расходы, относящиеся к решению вопросов местного значения поселений.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Репрезентативный перечень расходов с указанием категорий потребителей бюджетных услуг, показателей для расчета корректирующих коэффициентов бюджетных расходов, применяемых коэффициентов удорожания представлен в нижеприведенной таблице. Расчетный удельный вес i-того вида расходов в среднем по Камчатскому краю в общем объеме расходов, входящих в репрезентативный перечень, устанавливается в законе Камчатского края о краевом бюджете.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  <w:sectPr w:rsidR="00C93F36" w:rsidRPr="00C30508" w:rsidSect="00C30508">
          <w:footerReference w:type="default" r:id="rId49"/>
          <w:pgSz w:w="11905" w:h="16840"/>
          <w:pgMar w:top="1134" w:right="567" w:bottom="1134" w:left="1701" w:header="0" w:footer="0" w:gutter="0"/>
          <w:cols w:space="720"/>
          <w:noEndnote/>
        </w:sect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"/>
        <w:gridCol w:w="3503"/>
        <w:gridCol w:w="1455"/>
        <w:gridCol w:w="2797"/>
        <w:gridCol w:w="1559"/>
      </w:tblGrid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30508" w:rsidRPr="00C30508" w:rsidRDefault="00C30508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bookmarkStart w:id="0" w:name="Par132"/>
            <w:bookmarkEnd w:id="0"/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Перечень расходов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Категория потребителей бюджетных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Показатели для расчета промежуточных корректирующих коэффициентов бюджетных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Применяемый коэффициент удорожания</w:t>
            </w: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Расходы на функционирование органов местного самоуправления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Население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населения, численность населения,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МФ РФ, скорректированная на стоимость проезда до краевого центра)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заработной платы, коэффициент расходных потребностей, рассчитанный на основе нормативов расходных обязательств</w:t>
            </w: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Расходы на дорожную деятельность в отношении автомобильных дорог местного значения в границах населенных пунктов поселения (городского округа)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(городского округа), дорожную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 на участие в организации деятельности по сбору (в том числе раздельному сбору) и транспортированию твердых коммунальных отходов на территории поселения,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муниципального района (городского округа); на организацию благоустройства территории поселения (городского округа)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 (городского округа); на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городского округа, межселенной территории муниципального района, а также изменение, аннулирование таких наименований, размещение информации в государственном адресном реестре; на организацию ритуальных услуг и содержание мест захоронения, содержание на территории муниципального района межпоселенческих мест захоронения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Население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населения, предельная стоимость предоставления ЖКУ на 1 кв. м. в месяц по экономически обоснованным тарифам (с НДС, с учетом электроэнергии)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стоимости ЖКУ, коэффициент расходных потребностей, рассчитанный на основе нормативов расходных обязательств</w:t>
            </w:r>
          </w:p>
        </w:tc>
      </w:tr>
      <w:tr w:rsidR="00C93F36" w:rsidRPr="00C30508" w:rsidTr="00C30508"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Расходы на создание условий для предоставления транспортных услуг населению и организацию транспортного обслуживания населения в границах поселения (городского округа), между поселениями в границах муниципального района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Население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населения, стоимость фиксированного набора товаров и услуг, численность населения, проживающего в районах с ограниченными сроками завоза продукции, протяженность автодорог общего пользования со всеми видами покрытия, территория, численность населения моложе трудоспособного возраста и старше трудоспособного возраста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уровня цен, коэффициент расходных потребностей, рассчитанный на основе нормативов расходных обязательств</w:t>
            </w: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Расходы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Камчатского края), создание условий для осуществления присмотра и ухода за детьми, содержания детей в муниципальных образовательных организациях, а также организация отдыха детей в каникулярное время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Обучающиеся общеобразовательных организаций, воспитанники дошкольных образовательных организаций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населения, стоимость фиксированного набора товаров и услуг, численность населения, проживающего в районах с ограниченными сроками завоза продукции, протяженность автодорог общего пользования со всеми видами покрытия, территория, численность населения моложе трудоспособного возраста и старше трудоспособного возраста, предельная стоимость предоставления ЖКУ на 1 кв. м. в месяц по экономически обоснованным тарифам (с НДС, с учетом электроэнергии)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стоимости ЖКУ, коэффициент уровня цен, коэффициент расходных потребностей, рассчитанный на основе нормативов расходных обязательств</w:t>
            </w:r>
          </w:p>
        </w:tc>
      </w:tr>
      <w:tr w:rsidR="00C93F36" w:rsidRPr="00C30508" w:rsidTr="00C30508"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Расходы на организацию библиотечного обслуживания населения, комплектование и обеспечение сохранности библиотечных фондов библиотек поселений (городских округов), организацию библиотечного обслуживания населения межпоселенческими библиотеками, комплектование и обеспечение сохранности их библиотечных фондов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Население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населения, численность постоянного населения 5-29 лет, численность населения</w:t>
            </w:r>
            <w:r w:rsidR="005F0058"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,</w:t>
            </w: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МФ РФ, скорректированная на стоимость проезда до краевого центра)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заработной платы, коэффициент расходных потребностей, рассчитанный на основе нормативов расходных обязательств, коэффициент возрастной структуры населения (поправочный на численность населения 5-29 лет)</w:t>
            </w: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Расходы на обеспечение условий для развития на территории поселения (городского округа) физической культуры, школьного спорта и массового спорта, организацию проведения официальных физкультурно-оздоровительных и спортивных мероприятий поселения (городского округа); обеспечение условий для развития на территории муниципального района физической культуры, школьного спорта и массового спорта, организацию проведения официальных физкультурно-оздоровительных и спортивных мероприятий муниципального района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Население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населения, численность населения</w:t>
            </w:r>
            <w:r w:rsidR="005F0058"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,</w:t>
            </w: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МФ РФ скорректированная на стоимость проезда до краевого центра)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заработной платы, коэффициент расходных потребностей, рассчитанный на основе нормативов расходных обязательств</w:t>
            </w:r>
          </w:p>
        </w:tc>
      </w:tr>
      <w:tr w:rsidR="00C93F36" w:rsidRPr="00C30508" w:rsidTr="00C30508"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5F0058" w:rsidRPr="00C30508" w:rsidTr="00C3050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0508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Расходы на организацию и осуществление мероприятий по работе с детьми и молодежью в поселении (городском округе), организацию и осуществление мероприятий межпоселенческого характера по работе с детьми и молодежью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Население 5-29 лет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Численность городского и сельского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36" w:rsidRPr="00C30508" w:rsidRDefault="00C93F36">
            <w:pPr>
              <w:pStyle w:val="ConsPlusNormal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30508">
              <w:rPr>
                <w:rFonts w:ascii="Times New Roman" w:hAnsi="Times New Roman" w:cs="Times New Roman"/>
                <w:b w:val="0"/>
                <w:sz w:val="22"/>
                <w:szCs w:val="22"/>
              </w:rPr>
              <w:t>Коэффициент расходных потребностей, рассчитанный на основе нормативов расходных обязательств</w:t>
            </w:r>
          </w:p>
        </w:tc>
      </w:tr>
    </w:tbl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Примечание: численность обучающихся общеобразовательных организаций, численность воспитанников дошкольных образовательных организаций - по данным Министерства образования и науки Камчатского края, численность остальных категорий потребителей бюджетных услуг - по данным территориального органа Федеральной службы государственной статистики по Камчатскому краю.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Индекс бюджетных расходов (далее - ИБР) показывает, насколько больше (меньше) необходимо затратить бюджетных средств (в расчете на душу населения) в данном муниципальном районе (городском округе), с учетом объективных региональных факторов и условий, по сравнению со средним по Камчатскому краю уровнем для предоставления одного и того же объема бюджетных услуг.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ИБР используется для сопоставления уровня расчетной бюджетной обеспеченности муниципальных районов (городских округов) в рамках настоящей Методики и не является прогнозируемой (планируемой, рекомендуемой) оценкой расходов муниципальных районов (городских округов) в расчете на душу населения или в абсолютном размере.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ИБР для конкретного муниципального района (городского округа) на очередной финансовый год рассчитывается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685925" cy="257175"/>
            <wp:effectExtent l="0" t="0" r="9525" b="952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71475" cy="200025"/>
            <wp:effectExtent l="0" t="0" r="9525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индекс бюджетных расходов j-го муниципального района (городского округа) на очередной финансовый год;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71475" cy="200025"/>
            <wp:effectExtent l="0" t="0" r="9525" b="9525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индекс бюджетных расходов j-го муниципального района (городского округа) по i-тому виду расходов, входящему в состав репрезентативной системы расходов, на очередной финансовый год;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00025" cy="180975"/>
            <wp:effectExtent l="0" t="0" r="9525" b="952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расчетный удельный вес i-того вида бюджетных расходов, входящего в состав репрезентативной системы расходов, в очередном финансовом году. Рассчитывается как отношение суммы расходов i-того вида по всем муниципальным образованиям к общему объему расходов муниципальных образований, входящих в репрезентативный перечень, и применяется с целью определения индекса бюджетных расходов j-того муниципального образования с учетом доли i-того вида расходов.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54"/>
          <w:sz w:val="24"/>
          <w:szCs w:val="24"/>
          <w:lang w:eastAsia="ru-RU"/>
        </w:rPr>
        <w:drawing>
          <wp:inline distT="0" distB="0" distL="0" distR="0">
            <wp:extent cx="1143000" cy="762000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00025"/>
            <wp:effectExtent l="0" t="0" r="0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скорректированная численность потребителей бюджетных услуг j-го муниципального района (городского округа) по i-тому виду расходов, входящему в состав репрезентативной системы расходов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80975" cy="200025"/>
            <wp:effectExtent l="0" t="0" r="9525" b="9525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постоянного населения j-го муниципального района (городского округа) по состоянию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228600" cy="161925"/>
            <wp:effectExtent l="0" t="0" r="0" b="9525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суммарная скорректированная численность потребителей бюджетных услуг всех муниципальных районов (городских округов) по i-тому виду расходов, входящему в состав репрезентативной системы расходов,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52400" cy="161925"/>
            <wp:effectExtent l="0" t="0" r="0" b="9525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постоянного населения Камчатского края по состоянию на начало текущего финансового года.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Для оценки относительных различий в расходных потребностях численность потребителей бюджетных услуг каждого муниципального района (городского округа) по видам расходов репрезентативной системы расходов корректируется на коэффициенты, отражающие социально-экономические, географические и иные объективные факторы, влияющие на стоимость предоставления одного и того же объема бюджетных услуг в расчете на одного жителя.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Численность потребителей бюджетных услуг в расчетах применяется отдельно для городских округов и городских и сельских поселений. Исходя из этого нормативы расходных обязательств подразделяются на нормативы: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- на одного городского жителя (для городских округов);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- на одного сельского жителя (для городских, сельских поселений).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Расчет скорректированной численности потребителей бюджетных услуг муниципальных районов (городских округов) на очередной финансовый год производится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95525" cy="200025"/>
            <wp:effectExtent l="0" t="0" r="9525" b="952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00025"/>
            <wp:effectExtent l="0" t="0" r="0" b="952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потребителей бюджетных услуг j-го муниципального района (городского округа) по i-му виду расходов, входящему в состав репрезентативной системы расходов, согласно вышеприведенной </w:t>
      </w:r>
      <w:hyperlink w:anchor="Par132" w:history="1">
        <w:r w:rsidRPr="00C30508">
          <w:rPr>
            <w:rFonts w:ascii="Times New Roman" w:hAnsi="Times New Roman" w:cs="Times New Roman"/>
            <w:b w:val="0"/>
            <w:sz w:val="24"/>
            <w:szCs w:val="24"/>
          </w:rPr>
          <w:t>таблице</w:t>
        </w:r>
      </w:hyperlink>
      <w:r w:rsidRPr="00C30508">
        <w:rPr>
          <w:rFonts w:ascii="Times New Roman" w:hAnsi="Times New Roman" w:cs="Times New Roman"/>
          <w:b w:val="0"/>
          <w:sz w:val="24"/>
          <w:szCs w:val="24"/>
        </w:rPr>
        <w:t>, по состоянию на начало текущего финансового года. При отсутствии данных о численности потребителей бюджетных услуг по состоянию на начало текущего финансового года применяются аналогичные данные по состоянию на начало отчетного финансового года. В случае создания (предполагаемого создания в очередном финансовом году и плановом периоде) новых дошкольных образовательных организаций показатель численности воспитанников дошкольных образовательных организаций корректируется Министерством финансов Камчатского края на основании предложений Министерства образования и науки Камчатского края.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190625" cy="200025"/>
            <wp:effectExtent l="0" t="0" r="9525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коэффициенты удорожания стоимости предоставления бюджетных услуг в очередном финансовом году, отражающие факторы, влияющие на стоимость предоставляемых бюджетных услуг по i-му виду расходов, входящему в состав репрезентативной системы расходов, в расчете на одного жителя в j-м муниципальном районе (городском округе), где 1,...,n - число коэффициентов удорожания.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Законом Камчатского края о краевом бюджете могут устанавливаться доли влияния того или иного фактора, учитываемого применяемыми коэффициентами удорожания.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В настоящей Методике применяются следующие коэффициенты удорожания: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1) коэффициент уровня цен: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2324100" cy="638175"/>
            <wp:effectExtent l="0" t="0" r="0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00025"/>
            <wp:effectExtent l="0" t="0" r="0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средневзвешенный показатель стоимости фиксированного набора товаров и услуг в j-м муниципальном районе (городском округе) по состоянию на 1 октября отчетного финансового года, 1 января и 1 апреля текущего финансового года (по данным Министерства социального развития и труда Камчатского края).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Для муниципальных районов (городских округов), у которых основным видом топлива для выработки коммунальных услуг является природный газ, показатель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00025"/>
            <wp:effectExtent l="0" t="0" r="0" b="952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увеличивается в 1,5 раза;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61925" cy="200025"/>
            <wp:effectExtent l="0" t="0" r="9525" b="952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средневзвешенный показатель стоимости фиксированного набора товаров и услуг в среднем по муниципальным районам (городским округам) по состоянию на 1 октября отчетного финансового года, 1 января и 1 апреля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95300" cy="22860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плотности транспортных путей и отдаленности от г. Петропавловска-Камчатского;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00025"/>
            <wp:effectExtent l="0" t="0" r="0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доля населения моложе трудоспособного возраста и старше трудоспособного возраста j-го муниципального района (городского округа) в численности постоянного населения j-го муниципального района (городского округа) на начало отчетного или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61925" cy="161925"/>
            <wp:effectExtent l="0" t="0" r="9525" b="952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доля населения моложе трудоспособного возраста и старше трудоспособного возраста в численности населения моложе трудоспособного возраста и старше трудоспособного возраста в среднем по Камчатскому краю на начало отчетного или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228600" cy="19050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средний по Камчатскому краю средневзвешенный с учетом численности постоянного населения j-го муниципального района (городского округа) коэффициент уровня цен.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а) коэффициент плотности транспортных путей и отдаленности от г. Петропавловска-Камчатского рассчитывается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32"/>
          <w:sz w:val="24"/>
          <w:szCs w:val="24"/>
          <w:lang w:eastAsia="ru-RU"/>
        </w:rPr>
        <w:drawing>
          <wp:inline distT="0" distB="0" distL="0" distR="0">
            <wp:extent cx="2247900" cy="485775"/>
            <wp:effectExtent l="0" t="0" r="0" b="952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61925" cy="200025"/>
            <wp:effectExtent l="0" t="0" r="9525" b="952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плотность транспортных путей постоянного действия автодорог (общего пользования со всеми видами покрытия) в j-м муниципальном районе (городском округе)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плотность транспортных путей постоянного действия в среднем по Камчатскому краю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Для муниципальных районов (городских округов), у которых плотность транспортных путей постоянного действия выше аналогичного показателя в среднем по Камчатскому краю, отношение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61925" cy="200025"/>
            <wp:effectExtent l="0" t="0" r="9525" b="952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>/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единице.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0" t="0" r="952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коэффициент, учитывающий долю численности населения j-того муниципального района (городского округа), административный центр которого отдален от административного центра Камчатского края - города краевого подчинения Петропавловска-Камчатского более чем на 150 километров, в суммарной численности населения, проживающего в указанных муниципальных районах (городских округах).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Для муниципальных районов (городских округов), административный центр которых отдален от административного центра Камчатского края - города краевого подчинения Петропавловска-Камчатского менее чем на 150 километров, значение коэффициента принимается равным 0.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Для Усть-Камчатского, Усть-Большерецкого, Соболевского, Мильковского, Быстринского муниципальных районов значение показателя условно увеличивается на 2.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Для Алеутского муниципального района значение показателя условно увеличивается на 5, как для островной территории.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б) средний по Камчатскому краю средневзвешенный с учетом численности постоянного населения j-того муниципального района (городского округа) коэффициент уровня цен определяется по формуле:</w:t>
      </w:r>
    </w:p>
    <w:p w:rsidR="00C93F36" w:rsidRPr="00C30508" w:rsidRDefault="00C30508" w:rsidP="00C30508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 wp14:anchorId="0DBEE467" wp14:editId="6F4CF997">
            <wp:extent cx="2552700" cy="638175"/>
            <wp:effectExtent l="0" t="0" r="0" b="952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2) коэффициент заработной платы: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2466975" cy="419100"/>
            <wp:effectExtent l="0" t="0" r="952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33375" cy="228600"/>
            <wp:effectExtent l="0" t="0" r="9525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средневзвешенный (по численности населения соответствующих муниципальных районов (городских округов) районный коэффициент к заработной плате, установленный нормативными правовыми актами Камчатского края;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71475" cy="228600"/>
            <wp:effectExtent l="0" t="0" r="952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средневзвешенные (по численности населения соответствующих муниципальных районов (городских округов) территориальные надбавки к заработной плате, установленные нормативными правовыми актами Камчатского края;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81000" cy="200025"/>
            <wp:effectExtent l="0" t="0" r="0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условная надбавка по компенсации затрат на проезд к месту использования отпуска для работников бюджетной сферы муниципальных районов (городских округов) в очередном финансовом году (по оценке Министерства экономического развития, предпринимательства и торговли Камчатского края);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295275" cy="190500"/>
            <wp:effectExtent l="0" t="0" r="9525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средний по Камчатскому краю средневзвешенный с учетом численности постоянного населения j-того муниципального района (городского округа) коэффициент заработной платы.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а) условная надбавка по компенсации затрат на проезд к месту использования отпуска: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590675" cy="228600"/>
            <wp:effectExtent l="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09575" cy="228600"/>
            <wp:effectExtent l="0" t="0" r="9525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отдаленности j-того муниципального района (городского округа) с учетом стоимости проезда до краевого центра в очередном финансовом году:</w:t>
      </w:r>
    </w:p>
    <w:p w:rsidR="00C93F36" w:rsidRPr="00C30508" w:rsidRDefault="00C93F36" w:rsidP="00C93F36">
      <w:pPr>
        <w:pStyle w:val="ConsPlusNormal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476375" cy="22860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33375" cy="200025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отдаленности территории для Дальневосточного экономического района - 2;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42900" cy="200025"/>
            <wp:effectExtent l="0" t="0" r="0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поправочный коэффициент, учитывающий отдаленность населенных пунктов j-го муниципального района (городского округа) от краевого центра.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Поправочный коэффициент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42900" cy="200025"/>
            <wp:effectExtent l="0" t="0" r="0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определяется в соответствии со стоимостью проезда от населенных пунктов в среднем по муниципальному району (городскому округу) с учетом стоимости проезда от отдельных населенных пунктов и удельной численности их населения в общей численности населения j-ого муниципального района (городского округа) до аэропорта г. Елизово, усредненной величины стоимости дальнейшего проезда до места проведения отпуска и обратно, удельного веса постоянного населения j-того муниципального района (городского округа) в общей численности населения.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104900" cy="41910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52425" cy="20002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средняя стоимость проезда до места проведения отпуска и обратно с учетом проезда до аэропорта г. Елизово по j-тому муниципальному району (городскому округу)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4325" cy="200025"/>
            <wp:effectExtent l="0" t="0" r="9525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средняя стоимость проезда по всем муниципальным районам (городским округам) в очередном финансовом году.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Средняя стоимость проезда до места проведения отпуска и обратно с учетом проезда до аэропорта г. Елизово по j-тому муниципальному району (городскому округу) рассчитывается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47825" cy="419100"/>
            <wp:effectExtent l="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71475" cy="200025"/>
            <wp:effectExtent l="0" t="0" r="9525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стоимость проезда от соответствующих населенных пунктов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52425" cy="200025"/>
            <wp:effectExtent l="0" t="0" r="9525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населения в населенном пункте;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б) коэффициент расселения муниципальных районов (городских округов) определяется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143000" cy="41910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00025"/>
            <wp:effectExtent l="0" t="0" r="0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удельный вес населения, проживающего в населенных пунктах с численностью населения до 400 человек, в численности постоянного населения j-того муниципального района (городского округа) по состоянию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61925" cy="180975"/>
            <wp:effectExtent l="0" t="0" r="9525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удельный вес населения, проживающего в населенных пунктах с численностью населения до 400 человек, в численности постоянного населения в среднем по муниципальным районам (городским округам) по состоянию на начало текущего финансового года.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б) средний по Камчатскому краю средневзвешенный с учетом численности постоянного населения j-того муниципального района (городского округа) коэффициент заработной платы рассчитывается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32"/>
          <w:sz w:val="24"/>
          <w:szCs w:val="24"/>
          <w:lang w:eastAsia="ru-RU"/>
        </w:rPr>
        <w:drawing>
          <wp:inline distT="0" distB="0" distL="0" distR="0">
            <wp:extent cx="2809875" cy="48577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3) коэффициент стоимости жилищно-коммунальных услуг: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295400" cy="609600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80975" cy="20002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предельная стоимость предоставления ЖКУ на 1 кв. м. в месяц по экономически обоснованным тарифам (с НДС, с учетом электроэнергии) в j-том муниципальном районе (городском округе), по данным Министерства жилищно-коммунального хозяйства и энергетики Камчатского края, на основании постановлений глав муниципальных районов (городских округов) по состоянию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04800" cy="18097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средняя по Камчатскому краю предельная стоимость предоставления ЖКУ на 1 кв. м. в месяц по экономически обоснованным тарифам (с НДС, с учетом электроэнергии), по данным Министерства жилищно-коммунального хозяйства и энергетики Камчатского края, по состоянию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371475" cy="190500"/>
            <wp:effectExtent l="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средний по Камчатскому краю средневзвешенный с учетом численности постоянного населения j-того муниципального района (городского округа) коэффициент стоимости жилищно-коммунальных услуг.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а) средний по Камчатскому краю средневзвешенный с учетом численности населения j-того муниципального района (городского округа) коэффициент стоимости жилищно-коммунальных услуг: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562100" cy="60960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4) коэффициенты возрастной структуры населения: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В составе коэффициентов удорожания стоимости предоставления бюджетных услуг применяются поправочные коэффициенты на численность тех категорий населения, которые предъявляют повышенный спрос на соответствующие бюджетные услуги, в соответствии с </w:t>
      </w:r>
      <w:hyperlink w:anchor="Par132" w:history="1">
        <w:r w:rsidRPr="00C30508">
          <w:rPr>
            <w:rFonts w:ascii="Times New Roman" w:hAnsi="Times New Roman" w:cs="Times New Roman"/>
            <w:b w:val="0"/>
            <w:sz w:val="24"/>
            <w:szCs w:val="24"/>
          </w:rPr>
          <w:t>таблицей</w:t>
        </w:r>
      </w:hyperlink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настоящего приложения.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56"/>
          <w:sz w:val="24"/>
          <w:szCs w:val="24"/>
          <w:lang w:eastAsia="ru-RU"/>
        </w:rPr>
        <w:drawing>
          <wp:inline distT="0" distB="0" distL="0" distR="0">
            <wp:extent cx="1209675" cy="828675"/>
            <wp:effectExtent l="0" t="0" r="0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52425" cy="228600"/>
            <wp:effectExtent l="0" t="0" r="952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категорий населения в j-том муниципальном районе (городском округе), предъявляющих повышенный спрос на бюджетные услуги по i-тому виду расходов, по состоянию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0" t="0" r="9525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численность категорий населения, предъявляющих повышенный спрос на бюджетные услуги по i-тому виду расходов, на начало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5) коэффициент расходных потребностей, рассчитанный на основе нормативов расходных обязательств бюджетов муниципальных районов (городских округов) с учетом расходных обязательств бюджетов поселений.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В целях определения насколько больше (меньше) финансовых ресурсов необходимо затратить на предоставление бюджетных услуг одному получателю указанных бюджетных услуг по i-тому виду расходов в j-том муниципальном районе (городском округе) по сравнению со средним по Камчатскому краю нормативом, используются поправочные коэффициенты расходных потребностей, рассчитанные на основе нормативов расходных обязательств бюджетов муниципальных районов (городских округов) с учетом расходных обязательств бюджетов поселений, установленных </w:t>
      </w:r>
      <w:hyperlink r:id="rId103" w:history="1">
        <w:r w:rsidRPr="00C30508">
          <w:rPr>
            <w:rFonts w:ascii="Times New Roman" w:hAnsi="Times New Roman" w:cs="Times New Roman"/>
            <w:b w:val="0"/>
            <w:sz w:val="24"/>
            <w:szCs w:val="24"/>
          </w:rPr>
          <w:t>статьей 4</w:t>
        </w:r>
      </w:hyperlink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настоящего Закона.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076325" cy="41910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76225" cy="228600"/>
            <wp:effectExtent l="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расходных потребностей, рассчитанный на основе нормативов расходных обязательств бюджетов городских округов и муниципальных районов в очередном финансовом году, по i-тому виду расходов в j-том муниципальном районе;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норматив расходных обязательств в очередном финансовом году по i-тому виду расходов в j-том муниципальном районе (городском округе) в соответствии со </w:t>
      </w:r>
      <w:hyperlink r:id="rId107" w:history="1">
        <w:r w:rsidRPr="00C30508">
          <w:rPr>
            <w:rFonts w:ascii="Times New Roman" w:hAnsi="Times New Roman" w:cs="Times New Roman"/>
            <w:b w:val="0"/>
            <w:sz w:val="24"/>
            <w:szCs w:val="24"/>
          </w:rPr>
          <w:t>статьей 4</w:t>
        </w:r>
      </w:hyperlink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настоящего Закона;</w:t>
      </w:r>
    </w:p>
    <w:p w:rsidR="00C93F36" w:rsidRDefault="00C93F36" w:rsidP="00C3050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- норматив расходных обязательств в очередном финансовом году по i-тому виду расходов в Камчатском крае.</w:t>
      </w:r>
    </w:p>
    <w:p w:rsidR="00C30508" w:rsidRDefault="00C30508" w:rsidP="00C30508">
      <w:pPr>
        <w:pStyle w:val="ConsPlusNormal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Pr="00C30508" w:rsidRDefault="00C30508" w:rsidP="00C30508">
      <w:pPr>
        <w:pStyle w:val="ConsPlusNormal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III. Распределение дотаций на выравнивание бюджетной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обеспеченности муниципальных районов (городских округов)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Дотации на выравнивание бюджетной обеспеченности муниципальных районов (городских округов) распределяются между муниципальными образованиями, уровень расчетной бюджетной обеспеченности которых не превышает уровень (БОмах), установленный в качестве критерия выравнивания расчетной бюджетной обеспеченности муниципальных районов (городских округов).</w:t>
      </w:r>
    </w:p>
    <w:p w:rsidR="00C93F36" w:rsidRPr="00C30508" w:rsidRDefault="00C93F36" w:rsidP="00C30508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Расчет общего размера дотаций на выравнивание бюджетной обеспеченности муниципальных районов (городских округов) в очередном финансовом году производится по следующей формуле:</w:t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362075" cy="22860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00025"/>
            <wp:effectExtent l="0" t="0" r="0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общий размер дотации j-тому муниципальному району (городскому округу) на выравнивание бюджетной обеспеченности муниципальных районов (городских округов)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размер дотации j-тому муниципальному району (городскому округу) на выравнивание бюджетной обеспеченности муниципальных районов (городских округов)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размер дотации j-тому муниципальному району (городскому округу) на стимулирование достижений наилучших показателей деятельности в очередном финансовом году.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1. Расчет размера дотаций на выравнивание бюджетной обеспеченности муниципальных районов (городских округов) в очередном финансовом году производится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485900" cy="4191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размер дотации j-тому муниципальному району (городскому округу) на выравнивание бюджетной обеспеченности муниципальных районов (городских округов)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85775" cy="22860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объем дотаций на выравнивание бюджетной обеспеченности муниципальных районов (городских округов) в очередном финансовом году.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80975" cy="20002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объем средств, необходимый для доведения в очередном финансовом году уровня бюджетной обеспеченности j-того муниципального района (городского округа) до уровня БОмах, (при условии, что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80975" cy="20002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&gt; 0);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42875" cy="1619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объем средств, необходимый для доведения в очередном финансовом году уровня бюджетной обеспеченности муниципальных районов (городских округов) до уровня БОмах.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Объем средств, необходимый для доведения уровня бюджетной обеспеченности j-того муниципального района (городского округа) до уровня БОмах, рассчитывается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30508" w:rsidRDefault="00C93F36" w:rsidP="00C30508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476500" cy="42862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508" w:rsidRDefault="00C30508" w:rsidP="00C30508">
      <w:pPr>
        <w:pStyle w:val="ConsPlusNormal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30508">
      <w:pPr>
        <w:pStyle w:val="ConsPlusNormal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Для муниципальных районов (городских округов), у которых расчетный размер дотации на выравнивание бюджетной обеспеченности муниципальных районов (городских округов) на очередной финансовый год и первый год планового периода составил меньше размера дотации на выравнивание бюджетной обеспеченности муниципальных районов (городских округов), утвержденного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размер дотации на очередной финансовый год и первый год планового периода принимается равным размеру дотации,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за исключением случаев внесения федеральными законами изменений, приводящих к увеличению расходов и (или) снижению доходов краевого бюджета.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2. Расчет размера дотаций бюджетам муниципальных районов (городских округов) на стимулирование достижений наилучших показателей деятельности в очередном финансовом году производится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857375" cy="41910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57200" cy="2286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размер дотации j-тому муниципальному району (городскому округу) на стимулирование достижений наилучших показателей деятельности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19100" cy="2286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объем дотаций бюджетам муниципальных районов (городских округов) на стимулирование достижений наилучших показателей деятельности в очередном финансовом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57200" cy="2286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повышающий коэффициент дотации бюджету j-того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419100" cy="1905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повышающий коэффициент дотации бюджетам муниципальных районов (городских округов).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1) Расчет суммарного повышающего коэффициента дотации бюджету j-того муниципального района (городского округа) производится по следующей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162175" cy="22860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57200" cy="2286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суммарный повышающий коэффициент дотации бюджету j-того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сокращения кредиторской задолженности бюджета j-того муниципального района (городского округа).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Если значение коэффициента меньше 1, то показатель</w:t>
      </w:r>
      <w:r w:rsidR="00EC6617" w:rsidRPr="00C3050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0.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увеличения поступлений доходов от местных налогов и доходов от использования имущества в бюджет j-того муниципального района (городского округа).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Если значение коэффициента меньше 1, то показатель</w:t>
      </w:r>
      <w:r w:rsidR="00EC6617" w:rsidRPr="00C3050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0.</w:t>
      </w:r>
    </w:p>
    <w:p w:rsidR="00C93F36" w:rsidRPr="00C30508" w:rsidRDefault="00C93F36" w:rsidP="00C30508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увеличения уровня собираемости, платежей населения за жилищно-коммунальные услуги j-того муниципального района (городского округа).</w:t>
      </w:r>
    </w:p>
    <w:p w:rsidR="00C30508" w:rsidRDefault="00C93F36" w:rsidP="00C30508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Если значение коэффициента меньше 1, то показатель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0.</w:t>
      </w:r>
    </w:p>
    <w:p w:rsidR="00C93F36" w:rsidRPr="00C30508" w:rsidRDefault="00C93F36" w:rsidP="00C30508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коэффициент, учитывающий выполнение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районе (городском округе).</w:t>
      </w:r>
    </w:p>
    <w:p w:rsidR="00C93F36" w:rsidRPr="00C30508" w:rsidRDefault="00C93F36" w:rsidP="00C30508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2) Коэффициент сокращения кредиторской задолженности бюджета j-того муниципального района (городского округа) рассчитывается по формуле:</w:t>
      </w:r>
    </w:p>
    <w:p w:rsidR="00C93F36" w:rsidRPr="00C30508" w:rsidRDefault="00C93F36" w:rsidP="00C30508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600200" cy="4191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сокращения кредиторской задолженности бюджета j-того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95275" cy="2286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отношение снижения объема кредиторской задолженности бюджета j-того муниципального района (городского округа) с 1 января отчетного финансового года по 1 января текущего финансового года к объему кредиторской задолженности бюджета j-того муниципального района (городского округа) по состоянию на 1 января отчетного финансового года. Если кредиторская задолженность по состоянию на 1 января текущего финансового года и на 1 января отчетного финансового года отсутствовала, значение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95275" cy="2286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100 %;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57175" cy="2000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среднее по Камчатскому краю отношение снижения объема кредиторской задолженности бюджетов муниципальных районов (городских округов) с 1 января отчетного финансового года по 1 января текущего финансового года к объему кредиторской задолженности бюджетов муниципальных образований по состоянию на 1 января отчетного финансового года.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1 - число, используемое для придания формуле математического смысла.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3) Коэффициент увеличения поступлений доходов от местных налогов и доходов от использования имущества в бюджет j-того муниципального района (городского округа) рассчитывается по формуле: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638300" cy="4191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увеличения поступлений доходов от местных налогов и доходов от использования имущества в бюджет j-того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1 - число, используемое для придания формуле математического смысла;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темп роста объема поступлений доходов от местных налогов и доходов от использования имущества в бюджет j-того муниципального района (городского округа) за отчетный финансовый год к объему указанных доходов бюджета j-того муниципального района (городского округа) за финансовый год, предшествующий отчетному финансовому году. Если темп роста объема поступлений доходов от местных налогов и доходов от использования имущества в бюджет j-того муниципального района (городского округа) превышает среднее значение по Камчатскому краю, то нд показатель Тj принимается равным среднему значению по Камчатскому краю.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276225" cy="1905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средний по Камчатскому краю темп роста объема поступлений доходов от местных налогов и доходов от использования имущества бюджетов муниципальных районов (городских округов) за отчетный финансовый год к объему указанных доходов бюджетов муниципальных районов (городских округов) за финансовый год, предшествующий отчетному финансовому году.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4) Коэффициент увеличения уровня собираемости платежей населения за жилищно-коммунальные услуги j-того муниципального района (городского округа) рассчитывается по формуле:</w:t>
      </w:r>
    </w:p>
    <w:p w:rsidR="00C93F36" w:rsidRPr="00C30508" w:rsidRDefault="00C30508" w:rsidP="00C30508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 wp14:anchorId="1AA42281" wp14:editId="25CC7838">
            <wp:extent cx="1790700" cy="4191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 увеличения уровня собираемости платежей населения за жилищно-коммунальные услуги j-того муниципального района (городского округа);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1 - число, используемое для придания формуле математического смысла;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90525" cy="2286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темп роста фактического уровня собираемости платежей населения за жилищно-коммунальные услуги j-того муниципального района (городского округа) за отчетный финансовый год к фактическому уровню собираемости платежей населения за жилищно-коммунальные услуги j-того муниципального района (городского округа) за год, предшествующий отчетному финансовому году;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Если темп роста фактического уровня собираемости платежей населения за жилищно-коммунальные услуги j-того муниципального района (городского округа) превышает среднее значение по Камчатскому краю, то показатель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90525" cy="2286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>принимается равным среднему значению по Камчатскому краю.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352425" cy="1905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средний по Камчатскому краю темп роста фактического уровня собираемости платежей населения за жилищно-коммунальные услуги муниципальных районов (городских округов) за отчетный финансовый год к фактическому уровню собираемости платежей населения за жилищно-коммунальные услуги муниципальных районов (городских округов) за год, предшествующий отчетному финансовому году.</w:t>
      </w:r>
    </w:p>
    <w:p w:rsidR="004057F0" w:rsidRPr="004057F0" w:rsidRDefault="004057F0" w:rsidP="004057F0">
      <w:pPr>
        <w:pStyle w:val="ConsPlusNormal"/>
        <w:ind w:firstLine="540"/>
        <w:jc w:val="both"/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t xml:space="preserve">Если </w:t>
      </w:r>
      <w:r w:rsidRPr="004057F0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t>фактическ</w:t>
      </w:r>
      <w:r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t xml:space="preserve">ий </w:t>
      </w:r>
      <w:r w:rsidRPr="004057F0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t>уров</w:t>
      </w:r>
      <w:r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t xml:space="preserve">ень </w:t>
      </w:r>
      <w:r w:rsidRPr="004057F0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t xml:space="preserve">собираемости платежей населения за жилищно-коммунальные услуги j-того муниципального района (городского округа) за отчетный финансовый год превышает 95 %, то значение коэффициента увеличения уровня собираемости платежей населения за жилищно-коммунальные услуги j-того муниципального района (городского округа) (К3j) принимается равным максимальному значению </w:t>
      </w:r>
      <w:r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t xml:space="preserve">по </w:t>
      </w:r>
      <w:r w:rsidRPr="004057F0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t>Камчатском</w:t>
      </w:r>
      <w:r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t>у</w:t>
      </w:r>
      <w:r w:rsidRPr="004057F0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t xml:space="preserve"> кра</w:t>
      </w:r>
      <w:r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t>ю</w:t>
      </w:r>
      <w:r w:rsidRPr="004057F0">
        <w:rPr>
          <w:rFonts w:ascii="Times New Roman" w:hAnsi="Times New Roman" w:cs="Times New Roman"/>
          <w:b w:val="0"/>
          <w:noProof/>
          <w:position w:val="-4"/>
          <w:sz w:val="24"/>
          <w:szCs w:val="24"/>
          <w:lang w:eastAsia="ru-RU"/>
        </w:rPr>
        <w:t>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" w:name="_GoBack"/>
      <w:bookmarkEnd w:id="1"/>
      <w:r w:rsidRPr="00C30508">
        <w:rPr>
          <w:rFonts w:ascii="Times New Roman" w:hAnsi="Times New Roman" w:cs="Times New Roman"/>
          <w:b w:val="0"/>
          <w:sz w:val="24"/>
          <w:szCs w:val="24"/>
        </w:rPr>
        <w:t>5) Коэффициент, учитывающий выполнение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районе (городском округе) рассчитывается по формуле:</w:t>
      </w:r>
    </w:p>
    <w:p w:rsidR="00C93F36" w:rsidRPr="00C30508" w:rsidRDefault="00C93F36" w:rsidP="00C93F36">
      <w:pPr>
        <w:pStyle w:val="ConsPlusNormal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24"/>
          <w:sz w:val="24"/>
          <w:szCs w:val="24"/>
          <w:lang w:eastAsia="ru-RU"/>
        </w:rPr>
        <w:drawing>
          <wp:inline distT="0" distB="0" distL="0" distR="0">
            <wp:extent cx="1609725" cy="4191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коэффициент, учитывающий выполнение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районе (городском округе);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районе (городском округе) за период с 1 июля отчетного финансового года по 1 июля текущего финансового года.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Если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районе (городском округе) превышает среднее значение по Камчатскому краю, то показатель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среднему значению по Камчатскому краю.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Если контрольный показатель по снижению численности экономически активных лиц, находящихся в трудоспособном возрасте и не осуществляющих трудовую деятельность, муниципальному району (городскому округу) не доведен, значение </w:t>
      </w:r>
      <w:r w:rsidRPr="00C30508">
        <w:rPr>
          <w:rFonts w:ascii="Times New Roman" w:hAnsi="Times New Roman" w:cs="Times New Roman"/>
          <w:b w:val="0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принимается равным 100 %;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66700" cy="200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508">
        <w:rPr>
          <w:rFonts w:ascii="Times New Roman" w:hAnsi="Times New Roman" w:cs="Times New Roman"/>
          <w:b w:val="0"/>
          <w:sz w:val="24"/>
          <w:szCs w:val="24"/>
        </w:rPr>
        <w:t xml:space="preserve"> - средний по Камчатскому краю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за период с 1 июля отчетного финансового года по 1 июля текущего финансового года;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0508">
        <w:rPr>
          <w:rFonts w:ascii="Times New Roman" w:hAnsi="Times New Roman" w:cs="Times New Roman"/>
          <w:b w:val="0"/>
          <w:sz w:val="24"/>
          <w:szCs w:val="24"/>
        </w:rPr>
        <w:t>1 - число, используемое для придания формуле математического смысла.</w:t>
      </w:r>
    </w:p>
    <w:p w:rsidR="00C93F36" w:rsidRDefault="00C93F36"/>
    <w:sectPr w:rsidR="00C93F36" w:rsidSect="00C30508">
      <w:pgSz w:w="11906" w:h="16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508" w:rsidRDefault="00C30508" w:rsidP="00C30508">
      <w:r>
        <w:separator/>
      </w:r>
    </w:p>
  </w:endnote>
  <w:endnote w:type="continuationSeparator" w:id="0">
    <w:p w:rsidR="00C30508" w:rsidRDefault="00C30508" w:rsidP="00C3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508" w:rsidRDefault="00C30508">
    <w:pPr>
      <w:pStyle w:val="a7"/>
    </w:pPr>
  </w:p>
  <w:p w:rsidR="00C30508" w:rsidRDefault="00C3050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508" w:rsidRDefault="00C30508" w:rsidP="00C30508">
      <w:r>
        <w:separator/>
      </w:r>
    </w:p>
  </w:footnote>
  <w:footnote w:type="continuationSeparator" w:id="0">
    <w:p w:rsidR="00C30508" w:rsidRDefault="00C30508" w:rsidP="00C30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44" o:spid="_x0000_i1026" type="#_x0000_t75" style="width:28.5pt;height:14.25pt;visibility:visible;mso-wrap-style:square" o:bullet="t">
        <v:imagedata r:id="rId1" o:title=""/>
      </v:shape>
    </w:pict>
  </w:numPicBullet>
  <w:numPicBullet w:numPicBulletId="1">
    <w:pict>
      <v:shape id="Рисунок 46" o:spid="_x0000_i1027" type="#_x0000_t75" style="width:21.75pt;height:14.25pt;visibility:visible;mso-wrap-style:square" o:bullet="t">
        <v:imagedata r:id="rId2" o:title=""/>
      </v:shape>
    </w:pict>
  </w:numPicBullet>
  <w:abstractNum w:abstractNumId="0" w15:restartNumberingAfterBreak="0">
    <w:nsid w:val="3C3C0486"/>
    <w:multiLevelType w:val="hybridMultilevel"/>
    <w:tmpl w:val="58A0456E"/>
    <w:lvl w:ilvl="0" w:tplc="01E8784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342D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AC5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DA53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84C1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1CAD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BA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89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0A8A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F36"/>
    <w:rsid w:val="00044060"/>
    <w:rsid w:val="00073A69"/>
    <w:rsid w:val="000B5269"/>
    <w:rsid w:val="000E35C1"/>
    <w:rsid w:val="00242816"/>
    <w:rsid w:val="0025053C"/>
    <w:rsid w:val="00304746"/>
    <w:rsid w:val="004057F0"/>
    <w:rsid w:val="00440293"/>
    <w:rsid w:val="00477077"/>
    <w:rsid w:val="00571B67"/>
    <w:rsid w:val="005F0058"/>
    <w:rsid w:val="0067074F"/>
    <w:rsid w:val="006B079A"/>
    <w:rsid w:val="0074561D"/>
    <w:rsid w:val="0078187D"/>
    <w:rsid w:val="0089502C"/>
    <w:rsid w:val="008F7AB6"/>
    <w:rsid w:val="00913282"/>
    <w:rsid w:val="00964532"/>
    <w:rsid w:val="00972E6C"/>
    <w:rsid w:val="00A23EAB"/>
    <w:rsid w:val="00BF3FB2"/>
    <w:rsid w:val="00BF6E15"/>
    <w:rsid w:val="00C30508"/>
    <w:rsid w:val="00C92F3C"/>
    <w:rsid w:val="00C93F36"/>
    <w:rsid w:val="00D01ECA"/>
    <w:rsid w:val="00EC6617"/>
    <w:rsid w:val="00F2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4CDB821C-F48E-4302-86DA-B22BE2BC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F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707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074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3050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C30508"/>
  </w:style>
  <w:style w:type="paragraph" w:styleId="a7">
    <w:name w:val="footer"/>
    <w:basedOn w:val="a"/>
    <w:link w:val="a8"/>
    <w:uiPriority w:val="99"/>
    <w:unhideWhenUsed/>
    <w:rsid w:val="00C3050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C30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wmf"/><Relationship Id="rId117" Type="http://schemas.openxmlformats.org/officeDocument/2006/relationships/image" Target="media/image109.wmf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84" Type="http://schemas.openxmlformats.org/officeDocument/2006/relationships/image" Target="media/image78.wmf"/><Relationship Id="rId89" Type="http://schemas.openxmlformats.org/officeDocument/2006/relationships/image" Target="media/image83.wmf"/><Relationship Id="rId112" Type="http://schemas.openxmlformats.org/officeDocument/2006/relationships/image" Target="media/image104.wmf"/><Relationship Id="rId133" Type="http://schemas.openxmlformats.org/officeDocument/2006/relationships/image" Target="media/image125.wmf"/><Relationship Id="rId138" Type="http://schemas.openxmlformats.org/officeDocument/2006/relationships/image" Target="media/image130.wmf"/><Relationship Id="rId16" Type="http://schemas.openxmlformats.org/officeDocument/2006/relationships/image" Target="media/image11.wmf"/><Relationship Id="rId107" Type="http://schemas.openxmlformats.org/officeDocument/2006/relationships/hyperlink" Target="consultantplus://offline/ref=B6D81200AAB6306930285E0E7F30341E4B3AF30075D1A33D27694BEB856CDFA1A110D0F8FE4F7F698EA7604AM4t1V" TargetMode="External"/><Relationship Id="rId11" Type="http://schemas.openxmlformats.org/officeDocument/2006/relationships/image" Target="media/image6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23" Type="http://schemas.openxmlformats.org/officeDocument/2006/relationships/image" Target="media/image115.wmf"/><Relationship Id="rId128" Type="http://schemas.openxmlformats.org/officeDocument/2006/relationships/image" Target="media/image120.wmf"/><Relationship Id="rId144" Type="http://schemas.openxmlformats.org/officeDocument/2006/relationships/image" Target="media/image136.wmf"/><Relationship Id="rId5" Type="http://schemas.openxmlformats.org/officeDocument/2006/relationships/footnotes" Target="footnotes.xml"/><Relationship Id="rId90" Type="http://schemas.openxmlformats.org/officeDocument/2006/relationships/image" Target="media/image84.wmf"/><Relationship Id="rId95" Type="http://schemas.openxmlformats.org/officeDocument/2006/relationships/image" Target="media/image8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113" Type="http://schemas.openxmlformats.org/officeDocument/2006/relationships/image" Target="media/image105.wmf"/><Relationship Id="rId118" Type="http://schemas.openxmlformats.org/officeDocument/2006/relationships/image" Target="media/image110.wmf"/><Relationship Id="rId134" Type="http://schemas.openxmlformats.org/officeDocument/2006/relationships/image" Target="media/image126.wmf"/><Relationship Id="rId139" Type="http://schemas.openxmlformats.org/officeDocument/2006/relationships/image" Target="media/image131.wmf"/><Relationship Id="rId80" Type="http://schemas.openxmlformats.org/officeDocument/2006/relationships/image" Target="media/image74.wmf"/><Relationship Id="rId85" Type="http://schemas.openxmlformats.org/officeDocument/2006/relationships/image" Target="media/image79.wmf"/><Relationship Id="rId3" Type="http://schemas.openxmlformats.org/officeDocument/2006/relationships/settings" Target="settings.xml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59" Type="http://schemas.openxmlformats.org/officeDocument/2006/relationships/image" Target="media/image53.wmf"/><Relationship Id="rId67" Type="http://schemas.openxmlformats.org/officeDocument/2006/relationships/image" Target="media/image61.wmf"/><Relationship Id="rId103" Type="http://schemas.openxmlformats.org/officeDocument/2006/relationships/hyperlink" Target="consultantplus://offline/ref=B6D81200AAB6306930285E0E7F30341E4B3AF30075D1A33D27694BEB856CDFA1A110D0F8FE4F7F698EA7604AM4t1V" TargetMode="External"/><Relationship Id="rId108" Type="http://schemas.openxmlformats.org/officeDocument/2006/relationships/image" Target="media/image100.wmf"/><Relationship Id="rId116" Type="http://schemas.openxmlformats.org/officeDocument/2006/relationships/image" Target="media/image108.wmf"/><Relationship Id="rId124" Type="http://schemas.openxmlformats.org/officeDocument/2006/relationships/image" Target="media/image116.wmf"/><Relationship Id="rId129" Type="http://schemas.openxmlformats.org/officeDocument/2006/relationships/image" Target="media/image121.wmf"/><Relationship Id="rId137" Type="http://schemas.openxmlformats.org/officeDocument/2006/relationships/image" Target="media/image129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54" Type="http://schemas.openxmlformats.org/officeDocument/2006/relationships/image" Target="media/image48.wmf"/><Relationship Id="rId62" Type="http://schemas.openxmlformats.org/officeDocument/2006/relationships/image" Target="media/image56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83" Type="http://schemas.openxmlformats.org/officeDocument/2006/relationships/image" Target="media/image77.wmf"/><Relationship Id="rId88" Type="http://schemas.openxmlformats.org/officeDocument/2006/relationships/image" Target="media/image82.wmf"/><Relationship Id="rId91" Type="http://schemas.openxmlformats.org/officeDocument/2006/relationships/image" Target="media/image85.wmf"/><Relationship Id="rId96" Type="http://schemas.openxmlformats.org/officeDocument/2006/relationships/image" Target="media/image90.wmf"/><Relationship Id="rId111" Type="http://schemas.openxmlformats.org/officeDocument/2006/relationships/image" Target="media/image103.wmf"/><Relationship Id="rId132" Type="http://schemas.openxmlformats.org/officeDocument/2006/relationships/image" Target="media/image124.wmf"/><Relationship Id="rId140" Type="http://schemas.openxmlformats.org/officeDocument/2006/relationships/image" Target="media/image132.wmf"/><Relationship Id="rId145" Type="http://schemas.openxmlformats.org/officeDocument/2006/relationships/image" Target="media/image13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footer" Target="footer1.xml"/><Relationship Id="rId57" Type="http://schemas.openxmlformats.org/officeDocument/2006/relationships/image" Target="media/image51.wmf"/><Relationship Id="rId106" Type="http://schemas.openxmlformats.org/officeDocument/2006/relationships/image" Target="media/image99.wmf"/><Relationship Id="rId114" Type="http://schemas.openxmlformats.org/officeDocument/2006/relationships/image" Target="media/image106.wmf"/><Relationship Id="rId119" Type="http://schemas.openxmlformats.org/officeDocument/2006/relationships/image" Target="media/image111.wmf"/><Relationship Id="rId127" Type="http://schemas.openxmlformats.org/officeDocument/2006/relationships/image" Target="media/image119.wmf"/><Relationship Id="rId10" Type="http://schemas.openxmlformats.org/officeDocument/2006/relationships/image" Target="media/image1.wmf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52" Type="http://schemas.openxmlformats.org/officeDocument/2006/relationships/image" Target="media/image46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94" Type="http://schemas.openxmlformats.org/officeDocument/2006/relationships/image" Target="media/image88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122" Type="http://schemas.openxmlformats.org/officeDocument/2006/relationships/image" Target="media/image114.wmf"/><Relationship Id="rId130" Type="http://schemas.openxmlformats.org/officeDocument/2006/relationships/image" Target="media/image122.wmf"/><Relationship Id="rId135" Type="http://schemas.openxmlformats.org/officeDocument/2006/relationships/image" Target="media/image127.wmf"/><Relationship Id="rId143" Type="http://schemas.openxmlformats.org/officeDocument/2006/relationships/image" Target="media/image13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image" Target="media/image101.wmf"/><Relationship Id="rId34" Type="http://schemas.openxmlformats.org/officeDocument/2006/relationships/image" Target="media/image29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image" Target="media/image70.wmf"/><Relationship Id="rId97" Type="http://schemas.openxmlformats.org/officeDocument/2006/relationships/image" Target="media/image91.wmf"/><Relationship Id="rId104" Type="http://schemas.openxmlformats.org/officeDocument/2006/relationships/image" Target="media/image97.wmf"/><Relationship Id="rId120" Type="http://schemas.openxmlformats.org/officeDocument/2006/relationships/image" Target="media/image112.wmf"/><Relationship Id="rId125" Type="http://schemas.openxmlformats.org/officeDocument/2006/relationships/image" Target="media/image117.wmf"/><Relationship Id="rId141" Type="http://schemas.openxmlformats.org/officeDocument/2006/relationships/image" Target="media/image133.wmf"/><Relationship Id="rId146" Type="http://schemas.openxmlformats.org/officeDocument/2006/relationships/fontTable" Target="fontTable.xml"/><Relationship Id="rId7" Type="http://schemas.openxmlformats.org/officeDocument/2006/relationships/image" Target="media/image3.wmf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2" Type="http://schemas.openxmlformats.org/officeDocument/2006/relationships/styles" Target="styles.xml"/><Relationship Id="rId29" Type="http://schemas.openxmlformats.org/officeDocument/2006/relationships/image" Target="media/image24.wmf"/><Relationship Id="rId24" Type="http://schemas.openxmlformats.org/officeDocument/2006/relationships/image" Target="media/image19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66" Type="http://schemas.openxmlformats.org/officeDocument/2006/relationships/image" Target="media/image60.wmf"/><Relationship Id="rId87" Type="http://schemas.openxmlformats.org/officeDocument/2006/relationships/image" Target="media/image81.wmf"/><Relationship Id="rId110" Type="http://schemas.openxmlformats.org/officeDocument/2006/relationships/image" Target="media/image102.wmf"/><Relationship Id="rId115" Type="http://schemas.openxmlformats.org/officeDocument/2006/relationships/image" Target="media/image107.wmf"/><Relationship Id="rId131" Type="http://schemas.openxmlformats.org/officeDocument/2006/relationships/image" Target="media/image123.wmf"/><Relationship Id="rId136" Type="http://schemas.openxmlformats.org/officeDocument/2006/relationships/image" Target="media/image128.wmf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56" Type="http://schemas.openxmlformats.org/officeDocument/2006/relationships/image" Target="media/image50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105" Type="http://schemas.openxmlformats.org/officeDocument/2006/relationships/image" Target="media/image98.wmf"/><Relationship Id="rId126" Type="http://schemas.openxmlformats.org/officeDocument/2006/relationships/image" Target="media/image118.wmf"/><Relationship Id="rId147" Type="http://schemas.openxmlformats.org/officeDocument/2006/relationships/theme" Target="theme/theme1.xml"/><Relationship Id="rId8" Type="http://schemas.openxmlformats.org/officeDocument/2006/relationships/image" Target="media/image4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98" Type="http://schemas.openxmlformats.org/officeDocument/2006/relationships/image" Target="media/image92.wmf"/><Relationship Id="rId121" Type="http://schemas.openxmlformats.org/officeDocument/2006/relationships/image" Target="media/image113.wmf"/><Relationship Id="rId142" Type="http://schemas.openxmlformats.org/officeDocument/2006/relationships/image" Target="media/image134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22</Pages>
  <Words>7639</Words>
  <Characters>43547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Гросфельд Юлия Владимировна</dc:creator>
  <cp:keywords/>
  <dc:description/>
  <cp:lastModifiedBy>Гросфельд Юлия Владимировна</cp:lastModifiedBy>
  <cp:revision>30</cp:revision>
  <cp:lastPrinted>2016-10-21T02:08:00Z</cp:lastPrinted>
  <dcterms:created xsi:type="dcterms:W3CDTF">2016-10-06T21:36:00Z</dcterms:created>
  <dcterms:modified xsi:type="dcterms:W3CDTF">2016-10-25T01:58:00Z</dcterms:modified>
</cp:coreProperties>
</file>